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0115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Зиннурова Т.И.,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Тюменская область, г. Сургут, ул. Гагарина, д. 9, каб.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старшего помощника прокурора г. Сургута Степановой М.В.,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частью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кадастрового инженера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Елены Юрьевны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7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Лапина Елена Юрьевна, являясь </w:t>
      </w:r>
      <w:r>
        <w:rPr>
          <w:rStyle w:val="cat-UserDefinedgrp-7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10.02.2025 по адресу </w:t>
      </w:r>
      <w:r>
        <w:rPr>
          <w:rStyle w:val="cat-UserDefinedgrp-7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,будучи достоверно осведомленной о несоответствии объекта №1 («</w:t>
      </w:r>
      <w:r>
        <w:rPr>
          <w:rStyle w:val="cat-UserDefinedgrp-7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границах земельного участка с кадастровым номером </w:t>
      </w:r>
      <w:r>
        <w:rPr>
          <w:rStyle w:val="cat-UserDefinedgrp-7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площадью застройки 648,5 кв.м., общая площадь здания 601 кв.м.) предъявляемым требованиям, в том числе что он не обладает признаками объекта недвижимости и не может выступать в гражданском обороте в качестве отдельных объектов гражданских прав, в связи с чем объект 2 («Служебный гараж административного здания в г. Сургуте, ул. Маяковского») не может являться объектом вспомогательного использования, в техническом плане от 10.02.2025 внесла недостоверные сведения о его виде разрешенного использования, указав что объект имеет вспомогательное значение, то есть не выполнила обязанность, предусмотренную ч.2 ст. 29.1 Федерального закона № 221-ФЗ</w:t>
      </w:r>
      <w:r>
        <w:rPr>
          <w:rFonts w:ascii="Times New Roman" w:eastAsia="Times New Roman" w:hAnsi="Times New Roman" w:cs="Times New Roman"/>
          <w:sz w:val="26"/>
          <w:szCs w:val="26"/>
        </w:rPr>
        <w:t>, если эти действия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1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деяния,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Лапина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Старший помощник прокурора г. Сургута Степанова М.В. в судебном заседании на привлечении Лапиной Е.Ю. к административной ответственности настаивала.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заслушав Степанову М.В.,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приходит к следующим выводам.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szCs w:val="26"/>
        </w:rPr>
        <w:t>2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Федерального закона от 13.07.2015 №218-ФЗ «О государственной регистрации недвижимости» (далее - Федеральный закон №218-ФЗ)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единый государственный реестр недвижимости является сводом достоверных систематизированных сведений об учтенном в соответствии с указанным Федеральным законом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данным Федеральным законом сведений.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1, п.7.3 ч.2 ст.14 Федерального закона №218-ФЗ государственный кадастровый учет и (или) государственная регистрация прав осуществляются на основании заявления и необходимых документов, в частности технического плана.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ч.1 ст.24 Федерального закона №218-ФЗ технический план представляет собой документ, в котором воспроизведены определенные сведения, внесенные в Единый государственный реестр недвижимости, и указаны сведения в частности, о здании, сооружении, помещении, необходимые для государственного кадастрового учета такого объекта недвижимости, а также сведения о части или частях здания, сооружения, помещения либо новые необходимые для внесения в Единый государственный реестр недвижимости сведения об объектах недвижимости, которым присвоены кадастровые номера.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 ч.2 ст.24 Федерального закона №218-ФЗ в техническом плане указываются сведения о здании, сооружении, помещении, машино-месте, объекте незавершенного строительства, едином недвижимом комплексе, необходимые для его государственного кадастрового учета, в случае выполнения кадастровых работ,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37 Федеральный закон от 24.07.2007 №221-ФЗ «О кадастровой деятельности» (далее - Федеральный закон №221-ФЗ) результатом кадастровых работ кадастрового инженера - индивидуального предпринимателя, указанного в статье 32 указанного Федерального закона, или работника юридического лица, указанного в статье 33 данного Федерального закона, является межевой план, технический план или акт обследования.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ч.1 ст.37 Федерального закона №221-ФЗ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лица. Договоры подряда на выполнение кадастровых работ заключаются таким юридическим лицом. Данные работы вправе выполнять только кадастровый инженер - работник такого юридического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п.2 ч.2 ст.29.1 Федерального закона №221-ФЗ следует, что кадастровый инженер обязан отказаться от заключения договора подряда на выполнение кадастровых работ в случае, если объект недвижимости, в отношении которого заказчик кадастровых работ предполагает выполнение таких работ, не является объектом недвижимости, в отношении которого осуществляется кадастровый учет в соответствии с Федеральным законом №218-ФЗ.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положений п.1 ст.130 ГК РФ, частей 6, 7 ст.1 Федерального закона №218-ФЗ следует, что объекты, которые связаны с землей так, что их перемещение без несоразмерного ущерба их назначению невозможно, в том числе здания, сооружения, объекты незавершенного строительства, являются объектами недвижимости, в отношении которых осуществляется государственный кадастровый учет и </w:t>
      </w:r>
      <w:r>
        <w:rPr>
          <w:rFonts w:ascii="Times New Roman" w:eastAsia="Times New Roman" w:hAnsi="Times New Roman" w:cs="Times New Roman"/>
          <w:sz w:val="26"/>
          <w:szCs w:val="26"/>
        </w:rPr>
        <w:t>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которые подлежат государственной регистрации.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Верховным Судом Российской Федерации отмечается, что для признания имущества недвижимым необходимо представить доказательства возведения его в установленном законом и иными нормативными актами порядке на земельном участке, предоставленном для строительства объекта недвижимости, с получением разрешительной документации (определения Верховного Суда Российской Федерации от 22.12.2015 №304-ЭС15-11476, 02.02.2021 №3 06-ЭС20-23 816).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позицией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Президиума Высшего Арбитражного Суда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изложенной в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становлении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№1160/13 по делу №А76-1598/2012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24.09.2013</w:t>
      </w:r>
      <w:r>
        <w:rPr>
          <w:rFonts w:ascii="Times New Roman" w:eastAsia="Times New Roman" w:hAnsi="Times New Roman" w:cs="Times New Roman"/>
          <w:sz w:val="26"/>
          <w:szCs w:val="26"/>
        </w:rPr>
        <w:t>, право собственности может быть зарегистрировано в едином государственном реестре лишь в отношении тех вещей, которые, обладая признаками недвижимости, способны выступать в гражданском обороте в качестве отдельных объектов гражданских прав.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отсутствием у вещи качеств самостоятельного объекта недвижимости право собственности на него не подлежит регистрации независимо от его физических характеристик и наличия отдельных элементов обеспечивающих прочную связь этого сооружения с соответствующим земельным участком.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ст.29.2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№221-ФЗ кадастровый инженер при наличии вины несет ответственность за несоблюдение требований указанного Федерального закона, других федеральных законов, иных нормативных правовых актов Российской Федерации в области кадастровых отношений, в том числе за недостоверность сведений межевого плана, технического плана, акта обследования или карты-плана территории на, основании которых в Единый государственный реестр недвижимости вносятся сведения об объектах недвижимости и которые подготовлены таким </w:t>
      </w:r>
      <w:r>
        <w:rPr>
          <w:rStyle w:val="cat-UserDefinedgrp-76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о возбуждении дела об административном правонарушении от 26.01.2026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 о проведении проверки от 25.11.2025;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заключения эксперта № 2-12/25 от 22.12.2025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т.1 </w:t>
      </w:r>
      <w:r>
        <w:rPr>
          <w:rFonts w:ascii="Times New Roman" w:eastAsia="Times New Roman" w:hAnsi="Times New Roman" w:cs="Times New Roman"/>
          <w:sz w:val="26"/>
          <w:szCs w:val="26"/>
        </w:rPr>
        <w:t>л.д.</w:t>
      </w:r>
      <w:r>
        <w:rPr>
          <w:rFonts w:ascii="Times New Roman" w:eastAsia="Times New Roman" w:hAnsi="Times New Roman" w:cs="Times New Roman"/>
          <w:sz w:val="26"/>
          <w:szCs w:val="26"/>
        </w:rPr>
        <w:t>2-79)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заключения эксперта № 5-12/25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25.12.2025 (т.1 л.д.80-158)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разрешения на строительство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(т.1 л.д. 159-162) 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разрешения на ввод объекта в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(т.1 л.д.163-170)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распоряжения Администрации города Сургута № 4924 от 05.09.2024;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ответа на обращение № 02-01-7090/4 от 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11.2024;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технического 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(т.1 л.д.190-203)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ЕГРН</w:t>
      </w:r>
      <w:r>
        <w:rPr>
          <w:rFonts w:ascii="Times New Roman" w:eastAsia="Times New Roman" w:hAnsi="Times New Roman" w:cs="Times New Roman"/>
          <w:sz w:val="26"/>
          <w:szCs w:val="26"/>
        </w:rPr>
        <w:t>(т.1 л.д.183-189)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проектной документации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(т.1 л.д.204-218)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ответа на обращение № 323 от 04.02.2025 (т.1 л.д.219-220);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Экспликация к поэтажному плану строения </w:t>
      </w:r>
      <w:r>
        <w:rPr>
          <w:rFonts w:ascii="Times New Roman" w:eastAsia="Times New Roman" w:hAnsi="Times New Roman" w:cs="Times New Roman"/>
          <w:sz w:val="26"/>
          <w:szCs w:val="26"/>
        </w:rPr>
        <w:t>(т.1 л.д.221);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ЕГРН(т.1 л.д.222-228,224-251)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 Лапиной Е.Ю., данными 27.05.2025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(т.1 л.д.229-233)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 Лапиной Е.Ю., данными 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(т.2 л.д.5-7)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реестра членов Ассоциации "Саморегулируемая организация кадастровых инженеров" (т.2л.д.11);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договора № 32/01 от 10.02.2025 на выполнение кадастровых работ объектов недвижимости в целях осуществления государственного учета, с приложением (т.2 л.д.12-17).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проведенной </w:t>
      </w:r>
      <w:r>
        <w:rPr>
          <w:rFonts w:ascii="Times New Roman" w:eastAsia="Times New Roman" w:hAnsi="Times New Roman" w:cs="Times New Roman"/>
          <w:sz w:val="26"/>
          <w:szCs w:val="26"/>
        </w:rPr>
        <w:t>Прокуратурой города Сургута проверк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исполнения </w:t>
      </w:r>
      <w:r>
        <w:rPr>
          <w:rStyle w:val="cat-UserDefinedgrp-80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 земельного и градостроительного законодательства при возведении объектов капитального строительства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кадастровыми номерами </w:t>
      </w:r>
      <w:r>
        <w:rPr>
          <w:rStyle w:val="cat-UserDefinedgrp-81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(Объект №1) и </w:t>
      </w:r>
      <w:r>
        <w:rPr>
          <w:rStyle w:val="cat-UserDefinedgrp-82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(Объект №2), в ходе которой выявлены многочисленные 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материалам проверки,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29.03.2024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электронного аукциона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между администрацией города Сургута и АО СЗ «Домостроительный комбинат - 1» заключен договор аренды земельного участка с кадастровым номером </w:t>
      </w:r>
      <w:r>
        <w:rPr>
          <w:rStyle w:val="cat-UserDefinedgrp-79rplc-6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26.08.2024 администрацией города Сургута выдано разрешение №86-10-52-2024 на строительство объекта «</w:t>
      </w:r>
      <w:r>
        <w:rPr>
          <w:rStyle w:val="cat-UserDefinedgrp-78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границах земельного участка с кадастровым номером </w:t>
      </w:r>
      <w:r>
        <w:rPr>
          <w:rStyle w:val="cat-UserDefinedgrp-79rplc-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площадью застройки 648,5 кв.м., общая площадь здания 601 кв.м.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05.09.2024 </w:t>
      </w:r>
      <w:r>
        <w:rPr>
          <w:rStyle w:val="cat-UserDefinedgrp-76rplc-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Лапиной Е.Ю. на основании договора на выполнение кадастровых работ №1/01 от 15.01.2024 подготовлен технический план вышеуказанного здания.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технического описания конструктивных элементов, содержащегося в заключении кадастрового инженера, среди прочего, следует, что фундамент - монолитный железобетонный, внутренняя отделка: обои под покраску, керамическая плитка, покраска; полы-линолеум, керамическая плитка; электроосвещение - кабель-каналы.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13.09.2024 администрацией города Сургута выдано разрешение на ввод вышеуказанного объекта в эксплуатацию.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20.09.2024 названный объект поставлен на кадастровый учет, присвоен кадастровый номер </w:t>
      </w:r>
      <w:r>
        <w:rPr>
          <w:rStyle w:val="cat-UserDefinedgrp-81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28.11.2024 в администрацию города Сургута поступил запрос </w:t>
      </w:r>
      <w:r>
        <w:rPr>
          <w:rStyle w:val="cat-UserDefinedgrp-83rplc-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разъяснений о необходимости получения разрешения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реконструкцию Объекта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1, предполагающую увеличение площади до 150 кв.м., с приложением проектной документации шифр 03-11-24-АР, предусматривающей увеличение площади застройки до 718,8 кв.м., увеличение общей площади здания до 699,4 кв.м. 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03.12.2024 администрацией города Сургута подготовлен ответ об отсутствии необходимости получения разрешения на строительство и разрешения на ввод объекта в эксплуатацию.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04.12.2024 </w:t>
      </w:r>
      <w:r>
        <w:rPr>
          <w:rStyle w:val="cat-UserDefinedgrp-76rplc-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Лапиной Е.Ю. подготовлен технический план здания.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Строительные работы по реконструкции Объекта № 1 проведены, в ЕГРН внесены сведения об увеличении площади объекта до 699 кв.м.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04.02.2025 в администрацию города Сургута поступил запрос АО СЗ «Домостроительный комбинат - 1» о предоставлении разъяснений о необходимости получения разрешения на строительство объекта «Служебный гараж административного здания в г. Сургуте, ул. Маяковского», выполняющего вспомогательную функцию по отношению к существующему административному зданию, расположенному на земельном участке с кадастровым номером </w:t>
      </w:r>
      <w:r>
        <w:rPr>
          <w:rStyle w:val="cat-UserDefinedgrp-79rplc-9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 приложением проектной документации шифр №01-01-25-АР.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07.02.2025 администрацией города Сургута со ссылкой на п.3 ст.17 Градостроительного кодекса Российской Федерации подготовлен ответ об отсутствии необходимости оформления разрешения на строительство и разрешения на ввод объекта в эксплуатацию, ввиду того, что планируемый к строительству объект является вспомогательным к объекту недвижимости с кадастровым номером </w:t>
      </w:r>
      <w:r>
        <w:rPr>
          <w:rStyle w:val="cat-UserDefinedgrp-81rplc-10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10.02.2025 </w:t>
      </w:r>
      <w:r>
        <w:rPr>
          <w:rStyle w:val="cat-UserDefinedgrp-76rplc-10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Лапиной Е.Ю. подготовлен технический план на вышеуказанное здание.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Из технического описания конструктивных элементов, содержащегося в заключении кадастрового инженера, среди прочего, следует, что фундамент - монолит</w:t>
      </w:r>
      <w:r>
        <w:rPr>
          <w:rFonts w:ascii="Times New Roman" w:eastAsia="Times New Roman" w:hAnsi="Times New Roman" w:cs="Times New Roman"/>
          <w:sz w:val="26"/>
          <w:szCs w:val="26"/>
        </w:rPr>
        <w:t>ный железобетонный.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акже в техническом плане указан</w:t>
      </w:r>
      <w:r>
        <w:rPr>
          <w:rFonts w:ascii="Times New Roman" w:eastAsia="Times New Roman" w:hAnsi="Times New Roman" w:cs="Times New Roman"/>
          <w:sz w:val="26"/>
          <w:szCs w:val="26"/>
        </w:rPr>
        <w:t>, вид разрешенного использования здания - «Объект вспомогательного назначения «Служебный гараж административного здания».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14.02.2025 на кадастровый учет поставлено нежилое здание с видом разрешенного использования «Объект вспомогательного назначения «служебный гараж административного здания», площадью 111,6 кв.м., кадастровый номер </w:t>
      </w:r>
      <w:r>
        <w:rPr>
          <w:rStyle w:val="cat-UserDefinedgrp-82rplc-10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представленному заключению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эксперта от 22.12.2025 №2-12/25. среди прочего, следует, что в проектной документации шифра 02-05-24 «Административное здание г. Сургут, ул. Маяковского», выполненной АО «Специализированный застройщик «Домостроительный комбинат-1»» (далее Проектная документация Объекта № 1), фундаменты представляют собой монолитную железобетонную плиту основания из бетона класса В25 (F200, W6). Плита армируется плоскими каркасами с поперечной арматурой в верхней и нижней зонах. Арматура соответствует классу А240 по ГОСТ 5781-82*. Под монолитной плитой предусмотрена подготовка из бетона класса В7,5 толщиной 100 мм.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По результатам визуального обследования фундаментов установлено их отсутствие. В качестве основания под наружные и внутренние железобетонные стены применены дорожные плиты.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При осмотре дорожных плит выявлены следующие отклонения от проектной документации и дефекты: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отклонения от горизонтальной плоскости-до 50 мм;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стыковочного крепления плит между собой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-нет швов с раствором или анкерных связей;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подушки из песчано-гравийной смеси под плитами-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прямой контакт плит с грунтом. 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Конструкции фундаментов не соответствуют Проектной документации Объекта №1 в соответствии с требованиями ГОСТ 31937-2024 «Здания и сооружения. Правила обследования и мониторинга технического состояния».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результатам осмотра, общее техническое состояние фундаментов, в соответствии с классификацией ГОСТ 3193 7 -2024 «Здания и сооружения. Правила обследования и мониторинга технического состояния», признано аварийным (код А). Это обусловлено наличием дефектов, приводящих к угрозе обрушения несущих конструкций (отсутствие проектных элементов, неустойчивое основание, деформации).</w:t>
      </w:r>
    </w:p>
    <w:p>
      <w:pPr>
        <w:widowControl w:val="0"/>
        <w:spacing w:before="0" w:after="0" w:line="317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проведения обследования выполнено частичное устройство системы освещения в коридорах здания </w:t>
      </w:r>
      <w:r>
        <w:rPr>
          <w:rFonts w:ascii="Times New Roman" w:eastAsia="Times New Roman" w:hAnsi="Times New Roman" w:cs="Times New Roman"/>
          <w:sz w:val="26"/>
          <w:szCs w:val="26"/>
        </w:rPr>
        <w:t>(МОП).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Разводка электропроводки по остальным помещениям отсутствует. Электрические отопительные приборы не установлены. Системы водоотведения (септик или локальное очистное сооружение) отсутствуют. Инженерное санитарно-техническое оборудование (умывальники, унитазы, смесители) полностью отсутствует.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Указанное состояние не соответствует требованиям: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ПУЭ-7 (Правила устройства электроустановок), разделы 7.1 и 7.3 (внутренние электропроводки и освещение);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СП 256.1325800.2016 «Электроустановки жилых и общественных зданий.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 проектирования и монтажа».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СП 30.13330.2020 «Внутренний водопровод и канализация зданий» (актуализированная редакция СНиП 2.04.01-85*);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СП 73.13330.2016 «Санитарно-технические системы зданий» (для отопительных систем).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Выполнены только минимальные работы по освещению МОП. Основные системы инженерного оборудования (электроснабжение помещений, отопление, водоснабжение, канализация, сантехника) не смонтированы, что свидетельствует о незавершенности работ по разделу ИСиЭ (инженерные системы и оборудование).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эксперт пришел к выводу, что «</w:t>
      </w:r>
      <w:r>
        <w:rPr>
          <w:rStyle w:val="cat-UserDefinedgrp-78rplc-1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расположенное на земельном участке с кадастровым номером </w:t>
      </w:r>
      <w:r>
        <w:rPr>
          <w:rStyle w:val="cat-UserDefinedgrp-79rplc-1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на пересечении улиц Маяковского и Музейной, не является объектом капитального строительства и не обладает признаками сооружения в соответствии с требованиями, содержащимся в Федеральном законе от 30.12.2009 №384-ФЗ «Технический регламент безопасности зданий и сооружений».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на момент подготовки технических планов 05.09.2024, 04.12.2024 Объект №1 не обладал признаками объекта недвижимости и в силу своей незавершенности и возведения с нарушения требований законодательства не мог выступать в гражданском обороте в качестве отдельных объектов гражданских прав.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Style w:val="cat-UserDefinedgrp-76rplc-1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Лапиной Е.Ю. обязанность, предусмотренная п.2.ч.2 ст.29.1 Федерального закона №221-ФЗ не выполнена, в технических план от 05.09.2024 внесены недостоверные сведения.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из заключения эксперта №5-12/2025 от 25.12.2025, подготовленного по результатам обследования Объекта №2, следует, что согласно проектной документации шифра 01-01-25 «Служебный гараж административного здания в г. Сургуте, ул. Маяковского», выполненной АО «Специализированный застройщик «Домостроительный комбинат-1», фундаменты в текстовой части (раздел КР) описаны как монолитная железобетонная плита основания из бетона класса В25 (F200; W6). Плита армируется плоскими каркасами с поперечной арматурой в верхней и нижней зонах (арматура класса А240 по ГОСТ 5781-82*). Под плитой предусмотрена подготовка, При изучении графической части проектной документации выявлены разночтения: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на листе №4 фундаменты представлены как монолитный железобетонный ростверк по забивным железоб</w:t>
      </w:r>
      <w:r>
        <w:rPr>
          <w:rFonts w:ascii="Times New Roman" w:eastAsia="Times New Roman" w:hAnsi="Times New Roman" w:cs="Times New Roman"/>
          <w:sz w:val="26"/>
          <w:szCs w:val="26"/>
        </w:rPr>
        <w:t>етонным сваям по серии 1.011.1-</w:t>
      </w:r>
      <w:r>
        <w:rPr>
          <w:rFonts w:ascii="Times New Roman" w:eastAsia="Times New Roman" w:hAnsi="Times New Roman" w:cs="Times New Roman"/>
          <w:sz w:val="26"/>
          <w:szCs w:val="26"/>
        </w:rPr>
        <w:t>10 выпуск 1;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на листе №6 указана монолитная плита основания.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визуального обследования установлено отсутствие проектных фундаментов независимо от принятой схемы.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основания под наружные и внутренние железобетонные стены применены дорожные плиты ПДН (предположительно по ГОСТ 25912-2015), уложенные непосредственно на грунт.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осмотре дорожных плит выявлены следующие существенные отклонения от проектной документации и дефекты: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отклонения от горизонтальной плоскости до 50 мм, приводящие к неравномерной осадке и деформациям несущих стен (нарушение СП 22.13330.2016, п.6.1);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анкерных связей между плитами, что исключает работу конструкции как единого основания;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заделки швов между плитами (открытые швы без заполнителя), способствующее проникновению воды, промывке грунта и морозному пучению;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монтаж плит выполнен без устройства основания (указанного на листе №6, графической части раздела КР), непосредственно на существующие грунты (неровные, с возможными органическими включениями), что не обеспечивает требуемую несущую способность по СП 22.13330.2016 «Основания зданий и сооружений».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Конструкции фундаментов не соответствуют проектной документации шифра 01-01-25 (ни одной из схем) и требованиям ГОСТ 31937-2024 «Здания и комплексы зданий и сооружений. Правила обследования и мониторинга технического состояния»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5.2, 6.3), а именно: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монолитной железобетонной плиты основания из бетона класса В25 (F200; W6) с арматурой класса А240 по ГОСТ 5781-82* (лист №6);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отсутствие монолитного ростверка по сваям серии 1.011.1-10 (лист №4);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применение дорожных плит вместо предусмотренных конструкций с требуемым армированием и несущей способностью;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отсутствие подготовительной подушки под фундаментную плиту.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результатам осмотра, общее техническое состояние фундаментов, в соответствии с классификацией ГОСТ 31937-2024, признано аварийным (код А). Это обусловлено дефектами, приводящими к угрозе обрушения несущих конструкций: отсутствие проектных элементов, неустойчивое основание, значительные деформации, риск локальных провалов грунта под нагрузкой.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Более того, в своем заключении эксперт также пришел к выводу, что Объект №2 не является объектом капитального строительства и не обладает признаками сооружения в соответствии с требованиями, содержащимся в Федеральном законе от 30.12.2009 №384-ФЗ «Технический регламент безопасности зданий и сооружений».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на момент подготовки технического плана от 10.02.2025 Объект №2 не обладал признаками объекта недвижимости и в силу своей незавершенности и возведения с нарушения требований законодательства не мог выступать в гражданском обороте в качестве отдельных объектов гражданских прав.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Style w:val="cat-UserDefinedgrp-76rplc-1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Лапиной Е.Ю. обязанность, предусмотренная п.2.ч.2 ст.29.1 Федерального закона №221-ФЗ не выполнена, в технических план от 10.02.2025 внесены недостоверные сведения о фундаменте объекта.</w:t>
      </w:r>
    </w:p>
    <w:p>
      <w:pPr>
        <w:widowControl w:val="0"/>
        <w:spacing w:before="0"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 мировой судья приходит к выводу, что кадастровый инженер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Лапина Е.Ю. будучи достоверно осведомленной о несоответствии Объекта №1 предъявляемым требованиям, в том числе, что он не обладает признаками объекта недвижимости и не может выступать в гражданском обороте в качестве отдельных объектов гражданских прав, в связи с чем, Объект №2 не может являться объектом вспомогательного использования, в техническом плане от 10.02.2025 внесла недостоверные сведения о его виде разрешенного использования, указав, что объект имеет вспомогательное назначе</w:t>
      </w:r>
      <w:r>
        <w:rPr>
          <w:rFonts w:ascii="Times New Roman" w:eastAsia="Times New Roman" w:hAnsi="Times New Roman" w:cs="Times New Roman"/>
          <w:sz w:val="26"/>
          <w:szCs w:val="26"/>
        </w:rPr>
        <w:t>ние,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ч.4 ст.14.35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</w:t>
      </w:r>
      <w:r>
        <w:rPr>
          <w:rFonts w:ascii="Times New Roman" w:eastAsia="Times New Roman" w:hAnsi="Times New Roman" w:cs="Times New Roman"/>
          <w:sz w:val="26"/>
          <w:szCs w:val="26"/>
        </w:rPr>
        <w:t>4.35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части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</w:t>
      </w:r>
      <w:r>
        <w:rPr>
          <w:rFonts w:ascii="Times New Roman" w:eastAsia="Times New Roman" w:hAnsi="Times New Roman" w:cs="Times New Roman"/>
          <w:sz w:val="26"/>
          <w:szCs w:val="26"/>
        </w:rPr>
        <w:t>4.35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то есть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внесение </w:t>
      </w:r>
      <w:r>
        <w:rPr>
          <w:rStyle w:val="cat-UserDefinedgrp-76rplc-1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заведомо ложных сведений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129192/entry/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межевой план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129192/entry/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технический план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129192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акт обследования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1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sz w:val="26"/>
          <w:szCs w:val="26"/>
        </w:rPr>
        <w:t>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</w:t>
      </w:r>
      <w:r>
        <w:rPr>
          <w:rFonts w:ascii="Times New Roman" w:eastAsia="Times New Roman" w:hAnsi="Times New Roman" w:cs="Times New Roman"/>
          <w:sz w:val="26"/>
          <w:szCs w:val="26"/>
        </w:rPr>
        <w:t>оАП РФ, исключающих возможность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обсуждении вопроса о назначении вида и размера наказания мировой судья,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ее имущественное положение, отсутствие обстоятельств, смягчающих и отягчающих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Лапиной Е.Ю.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Лапину Елену Юрьевну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151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ч. 4 ст.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14.35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30 000 (тридцати тысяч)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430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0412365400625001152614108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0115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>гут, ул. Гагарина, дом 9, каб. 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75rplc-9">
    <w:name w:val="cat-UserDefined grp-75 rplc-9"/>
    <w:basedOn w:val="DefaultParagraphFont"/>
  </w:style>
  <w:style w:type="character" w:customStyle="1" w:styleId="cat-UserDefinedgrp-76rplc-17">
    <w:name w:val="cat-UserDefined grp-76 rplc-17"/>
    <w:basedOn w:val="DefaultParagraphFont"/>
  </w:style>
  <w:style w:type="character" w:customStyle="1" w:styleId="cat-UserDefinedgrp-77rplc-20">
    <w:name w:val="cat-UserDefined grp-77 rplc-20"/>
    <w:basedOn w:val="DefaultParagraphFont"/>
  </w:style>
  <w:style w:type="character" w:customStyle="1" w:styleId="cat-UserDefinedgrp-78rplc-21">
    <w:name w:val="cat-UserDefined grp-78 rplc-21"/>
    <w:basedOn w:val="DefaultParagraphFont"/>
  </w:style>
  <w:style w:type="character" w:customStyle="1" w:styleId="cat-UserDefinedgrp-79rplc-23">
    <w:name w:val="cat-UserDefined grp-79 rplc-23"/>
    <w:basedOn w:val="DefaultParagraphFont"/>
  </w:style>
  <w:style w:type="character" w:customStyle="1" w:styleId="cat-UserDefinedgrp-76rplc-37">
    <w:name w:val="cat-UserDefined grp-76 rplc-37"/>
    <w:basedOn w:val="DefaultParagraphFont"/>
  </w:style>
  <w:style w:type="character" w:customStyle="1" w:styleId="cat-UserDefinedgrp-80rplc-54">
    <w:name w:val="cat-UserDefined grp-80 rplc-54"/>
    <w:basedOn w:val="DefaultParagraphFont"/>
  </w:style>
  <w:style w:type="character" w:customStyle="1" w:styleId="cat-UserDefinedgrp-81rplc-56">
    <w:name w:val="cat-UserDefined grp-81 rplc-56"/>
    <w:basedOn w:val="DefaultParagraphFont"/>
  </w:style>
  <w:style w:type="character" w:customStyle="1" w:styleId="cat-UserDefinedgrp-82rplc-58">
    <w:name w:val="cat-UserDefined grp-82 rplc-58"/>
    <w:basedOn w:val="DefaultParagraphFont"/>
  </w:style>
  <w:style w:type="character" w:customStyle="1" w:styleId="cat-UserDefinedgrp-79rplc-63">
    <w:name w:val="cat-UserDefined grp-79 rplc-63"/>
    <w:basedOn w:val="DefaultParagraphFont"/>
  </w:style>
  <w:style w:type="character" w:customStyle="1" w:styleId="cat-UserDefinedgrp-78rplc-68">
    <w:name w:val="cat-UserDefined grp-78 rplc-68"/>
    <w:basedOn w:val="DefaultParagraphFont"/>
  </w:style>
  <w:style w:type="character" w:customStyle="1" w:styleId="cat-UserDefinedgrp-79rplc-70">
    <w:name w:val="cat-UserDefined grp-79 rplc-70"/>
    <w:basedOn w:val="DefaultParagraphFont"/>
  </w:style>
  <w:style w:type="character" w:customStyle="1" w:styleId="cat-UserDefinedgrp-76rplc-73">
    <w:name w:val="cat-UserDefined grp-76 rplc-73"/>
    <w:basedOn w:val="DefaultParagraphFont"/>
  </w:style>
  <w:style w:type="character" w:customStyle="1" w:styleId="cat-UserDefinedgrp-81rplc-79">
    <w:name w:val="cat-UserDefined grp-81 rplc-79"/>
    <w:basedOn w:val="DefaultParagraphFont"/>
  </w:style>
  <w:style w:type="character" w:customStyle="1" w:styleId="cat-UserDefinedgrp-83rplc-83">
    <w:name w:val="cat-UserDefined grp-83 rplc-83"/>
    <w:basedOn w:val="DefaultParagraphFont"/>
  </w:style>
  <w:style w:type="character" w:customStyle="1" w:styleId="cat-UserDefinedgrp-76rplc-89">
    <w:name w:val="cat-UserDefined grp-76 rplc-89"/>
    <w:basedOn w:val="DefaultParagraphFont"/>
  </w:style>
  <w:style w:type="character" w:customStyle="1" w:styleId="cat-UserDefinedgrp-79rplc-95">
    <w:name w:val="cat-UserDefined grp-79 rplc-95"/>
    <w:basedOn w:val="DefaultParagraphFont"/>
  </w:style>
  <w:style w:type="character" w:customStyle="1" w:styleId="cat-UserDefinedgrp-81rplc-102">
    <w:name w:val="cat-UserDefined grp-81 rplc-102"/>
    <w:basedOn w:val="DefaultParagraphFont"/>
  </w:style>
  <w:style w:type="character" w:customStyle="1" w:styleId="cat-UserDefinedgrp-76rplc-105">
    <w:name w:val="cat-UserDefined grp-76 rplc-105"/>
    <w:basedOn w:val="DefaultParagraphFont"/>
  </w:style>
  <w:style w:type="character" w:customStyle="1" w:styleId="cat-UserDefinedgrp-82rplc-108">
    <w:name w:val="cat-UserDefined grp-82 rplc-108"/>
    <w:basedOn w:val="DefaultParagraphFont"/>
  </w:style>
  <w:style w:type="character" w:customStyle="1" w:styleId="cat-UserDefinedgrp-78rplc-117">
    <w:name w:val="cat-UserDefined grp-78 rplc-117"/>
    <w:basedOn w:val="DefaultParagraphFont"/>
  </w:style>
  <w:style w:type="character" w:customStyle="1" w:styleId="cat-UserDefinedgrp-79rplc-119">
    <w:name w:val="cat-UserDefined grp-79 rplc-119"/>
    <w:basedOn w:val="DefaultParagraphFont"/>
  </w:style>
  <w:style w:type="character" w:customStyle="1" w:styleId="cat-UserDefinedgrp-76rplc-125">
    <w:name w:val="cat-UserDefined grp-76 rplc-125"/>
    <w:basedOn w:val="DefaultParagraphFont"/>
  </w:style>
  <w:style w:type="character" w:customStyle="1" w:styleId="cat-UserDefinedgrp-76rplc-139">
    <w:name w:val="cat-UserDefined grp-76 rplc-139"/>
    <w:basedOn w:val="DefaultParagraphFont"/>
  </w:style>
  <w:style w:type="character" w:customStyle="1" w:styleId="cat-UserDefinedgrp-76rplc-146">
    <w:name w:val="cat-UserDefined grp-76 rplc-1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